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B7795" w:rsidRDefault="002B3152">
      <w:pPr>
        <w:jc w:val="center"/>
        <w:rPr>
          <w:rFonts w:ascii="Trebuchet MS" w:eastAsia="Trebuchet MS" w:hAnsi="Trebuchet MS" w:cs="Trebuchet MS"/>
          <w:b/>
          <w:sz w:val="24"/>
          <w:szCs w:val="24"/>
        </w:rPr>
      </w:pPr>
      <w:r>
        <w:rPr>
          <w:rFonts w:ascii="Trebuchet MS" w:eastAsia="Trebuchet MS" w:hAnsi="Trebuchet MS" w:cs="Trebuchet MS"/>
          <w:b/>
          <w:sz w:val="24"/>
          <w:szCs w:val="24"/>
        </w:rPr>
        <w:t>SPECIFIKACE SLUŽEB FIRMY JUTA</w:t>
      </w:r>
    </w:p>
    <w:p w14:paraId="00000002" w14:textId="77777777" w:rsidR="007B7795" w:rsidRDefault="007B7795">
      <w:pPr>
        <w:rPr>
          <w:rFonts w:ascii="Trebuchet MS" w:eastAsia="Trebuchet MS" w:hAnsi="Trebuchet MS" w:cs="Trebuchet MS"/>
          <w:sz w:val="20"/>
          <w:szCs w:val="20"/>
        </w:rPr>
      </w:pPr>
    </w:p>
    <w:p w14:paraId="00000003"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INTERNETOVÉ PŘIPOJENÍ</w:t>
      </w:r>
    </w:p>
    <w:p w14:paraId="00000004" w14:textId="77777777" w:rsidR="007B7795" w:rsidRDefault="002B3152">
      <w:pPr>
        <w:spacing w:before="200"/>
        <w:rPr>
          <w:rFonts w:ascii="Trebuchet MS" w:eastAsia="Trebuchet MS" w:hAnsi="Trebuchet MS" w:cs="Trebuchet MS"/>
          <w:b/>
          <w:sz w:val="20"/>
          <w:szCs w:val="20"/>
        </w:rPr>
      </w:pPr>
      <w:r>
        <w:rPr>
          <w:rFonts w:ascii="Trebuchet MS" w:eastAsia="Trebuchet MS" w:hAnsi="Trebuchet MS" w:cs="Trebuchet MS"/>
          <w:b/>
          <w:sz w:val="20"/>
          <w:szCs w:val="20"/>
        </w:rPr>
        <w:t>Definice služby</w:t>
      </w:r>
    </w:p>
    <w:p w14:paraId="00000005"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Služba přístupu k síti Internet (dále jen „Služba Internet“) zajišťuje svým uživatelům nepřetržitě přístup k obsahu, aplikacím a službám v síti Internet prostřednictvím sítě JUTA.</w:t>
      </w:r>
    </w:p>
    <w:p w14:paraId="00000006"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xml:space="preserve">Všechny nabízené varianty služby uvedené v ceníku služeb, zajistí uživateli plnohodnotné využívání přístupu k obsahu, aplikacím a službám v síti Internet. </w:t>
      </w:r>
    </w:p>
    <w:p w14:paraId="00000007" w14:textId="77777777" w:rsidR="007B7795" w:rsidRDefault="002B3152">
      <w:pPr>
        <w:rPr>
          <w:rFonts w:ascii="Trebuchet MS" w:eastAsia="Trebuchet MS" w:hAnsi="Trebuchet MS" w:cs="Trebuchet MS"/>
          <w:b/>
          <w:sz w:val="20"/>
          <w:szCs w:val="20"/>
        </w:rPr>
      </w:pPr>
      <w:r>
        <w:rPr>
          <w:rFonts w:ascii="Trebuchet MS" w:eastAsia="Trebuchet MS" w:hAnsi="Trebuchet MS" w:cs="Trebuchet MS"/>
          <w:b/>
          <w:sz w:val="20"/>
          <w:szCs w:val="20"/>
        </w:rPr>
        <w:t>Rychlost služby - kabelové připojení</w:t>
      </w:r>
    </w:p>
    <w:p w14:paraId="00000008"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Inzerovaná rychlost stahování a odesílání dat je uvedena v ceníku služeb.</w:t>
      </w:r>
    </w:p>
    <w:p w14:paraId="00000009" w14:textId="13031A6E"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xml:space="preserve">- Běžně dostupná rychlost stahování a odesílání dat odpovídá </w:t>
      </w:r>
      <w:r w:rsidR="00FA1CCB">
        <w:rPr>
          <w:rFonts w:ascii="Trebuchet MS" w:eastAsia="Trebuchet MS" w:hAnsi="Trebuchet MS" w:cs="Trebuchet MS"/>
          <w:sz w:val="20"/>
          <w:szCs w:val="20"/>
        </w:rPr>
        <w:t>60</w:t>
      </w:r>
      <w:r>
        <w:rPr>
          <w:rFonts w:ascii="Trebuchet MS" w:eastAsia="Trebuchet MS" w:hAnsi="Trebuchet MS" w:cs="Trebuchet MS"/>
          <w:sz w:val="20"/>
          <w:szCs w:val="20"/>
        </w:rPr>
        <w:t>% inzerované rychlosti</w:t>
      </w:r>
      <w:r w:rsidR="001E2DAC">
        <w:rPr>
          <w:rFonts w:ascii="Trebuchet MS" w:eastAsia="Trebuchet MS" w:hAnsi="Trebuchet MS" w:cs="Trebuchet MS"/>
          <w:sz w:val="20"/>
          <w:szCs w:val="20"/>
        </w:rPr>
        <w:t xml:space="preserve">, </w:t>
      </w:r>
      <w:r w:rsidR="001E2DAC" w:rsidRPr="001E2DAC">
        <w:rPr>
          <w:rFonts w:ascii="Trebuchet MS" w:eastAsia="Trebuchet MS" w:hAnsi="Trebuchet MS" w:cs="Trebuchet MS"/>
          <w:sz w:val="20"/>
          <w:szCs w:val="20"/>
        </w:rPr>
        <w:t xml:space="preserve">což odpovídá rychlosti </w:t>
      </w:r>
      <w:r w:rsidR="001E2DAC">
        <w:rPr>
          <w:rFonts w:ascii="Trebuchet MS" w:eastAsia="Trebuchet MS" w:hAnsi="Trebuchet MS" w:cs="Trebuchet MS"/>
          <w:sz w:val="20"/>
          <w:szCs w:val="20"/>
        </w:rPr>
        <w:t>30</w:t>
      </w:r>
      <w:r w:rsidR="001E2DAC" w:rsidRPr="001E2DAC">
        <w:rPr>
          <w:rFonts w:ascii="Trebuchet MS" w:eastAsia="Trebuchet MS" w:hAnsi="Trebuchet MS" w:cs="Trebuchet MS"/>
          <w:sz w:val="20"/>
          <w:szCs w:val="20"/>
        </w:rPr>
        <w:t xml:space="preserve"> Mbps.</w:t>
      </w:r>
    </w:p>
    <w:p w14:paraId="0000000A" w14:textId="549C3D0B"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Maximální dostupná rychlost stahování a odesílání dat odpovídá 200% inzerované rychlosti</w:t>
      </w:r>
      <w:r w:rsidR="001E2DAC">
        <w:rPr>
          <w:rFonts w:ascii="Trebuchet MS" w:eastAsia="Trebuchet MS" w:hAnsi="Trebuchet MS" w:cs="Trebuchet MS"/>
          <w:sz w:val="20"/>
          <w:szCs w:val="20"/>
        </w:rPr>
        <w:t xml:space="preserve">, </w:t>
      </w:r>
      <w:r w:rsidR="001E2DAC" w:rsidRPr="001E2DAC">
        <w:rPr>
          <w:rFonts w:ascii="Trebuchet MS" w:eastAsia="Trebuchet MS" w:hAnsi="Trebuchet MS" w:cs="Trebuchet MS"/>
          <w:sz w:val="20"/>
          <w:szCs w:val="20"/>
        </w:rPr>
        <w:t>což odpovídá rychlosti 100 Mbps.</w:t>
      </w:r>
    </w:p>
    <w:p w14:paraId="0000000B" w14:textId="0D51B5BA"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xml:space="preserve">- Minimální dostupná rychlost stahování a odesílání dat odpovídá </w:t>
      </w:r>
      <w:r w:rsidR="00FA1CCB">
        <w:rPr>
          <w:rFonts w:ascii="Trebuchet MS" w:eastAsia="Trebuchet MS" w:hAnsi="Trebuchet MS" w:cs="Trebuchet MS"/>
          <w:sz w:val="20"/>
          <w:szCs w:val="20"/>
        </w:rPr>
        <w:t>30</w:t>
      </w:r>
      <w:r>
        <w:rPr>
          <w:rFonts w:ascii="Trebuchet MS" w:eastAsia="Trebuchet MS" w:hAnsi="Trebuchet MS" w:cs="Trebuchet MS"/>
          <w:sz w:val="20"/>
          <w:szCs w:val="20"/>
        </w:rPr>
        <w:t>% inzerované rychlosti</w:t>
      </w:r>
      <w:r w:rsidR="001E2DAC">
        <w:rPr>
          <w:rFonts w:ascii="Trebuchet MS" w:eastAsia="Trebuchet MS" w:hAnsi="Trebuchet MS" w:cs="Trebuchet MS"/>
          <w:sz w:val="20"/>
          <w:szCs w:val="20"/>
        </w:rPr>
        <w:t xml:space="preserve">, </w:t>
      </w:r>
      <w:r w:rsidR="001E2DAC" w:rsidRPr="001E2DAC">
        <w:rPr>
          <w:rFonts w:ascii="Trebuchet MS" w:eastAsia="Trebuchet MS" w:hAnsi="Trebuchet MS" w:cs="Trebuchet MS"/>
          <w:sz w:val="20"/>
          <w:szCs w:val="20"/>
        </w:rPr>
        <w:t>což odpovídá rychlosti 1</w:t>
      </w:r>
      <w:r w:rsidR="001E2DAC">
        <w:rPr>
          <w:rFonts w:ascii="Trebuchet MS" w:eastAsia="Trebuchet MS" w:hAnsi="Trebuchet MS" w:cs="Trebuchet MS"/>
          <w:sz w:val="20"/>
          <w:szCs w:val="20"/>
        </w:rPr>
        <w:t>5</w:t>
      </w:r>
      <w:r w:rsidR="001E2DAC" w:rsidRPr="001E2DAC">
        <w:rPr>
          <w:rFonts w:ascii="Trebuchet MS" w:eastAsia="Trebuchet MS" w:hAnsi="Trebuchet MS" w:cs="Trebuchet MS"/>
          <w:sz w:val="20"/>
          <w:szCs w:val="20"/>
        </w:rPr>
        <w:t xml:space="preserve"> Mbps.</w:t>
      </w:r>
    </w:p>
    <w:p w14:paraId="0000000C" w14:textId="77777777" w:rsidR="007B7795" w:rsidRDefault="002B3152">
      <w:pPr>
        <w:rPr>
          <w:rFonts w:ascii="Trebuchet MS" w:eastAsia="Trebuchet MS" w:hAnsi="Trebuchet MS" w:cs="Trebuchet MS"/>
          <w:b/>
          <w:sz w:val="20"/>
          <w:szCs w:val="20"/>
        </w:rPr>
      </w:pPr>
      <w:r>
        <w:rPr>
          <w:rFonts w:ascii="Trebuchet MS" w:eastAsia="Trebuchet MS" w:hAnsi="Trebuchet MS" w:cs="Trebuchet MS"/>
          <w:b/>
          <w:sz w:val="20"/>
          <w:szCs w:val="20"/>
        </w:rPr>
        <w:t>Principy datového přenosu sítě Internet</w:t>
      </w:r>
    </w:p>
    <w:p w14:paraId="0000000D"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Součástí přenášených a stahovaných dat, jsou kromě dat uživatelského obsahu, také data, která slouží pro zajištění jejich přenosu. Data pro zajištění přenosu tvoří cca 5% v celkovém přenosu dat, a jsou jejich neoddělitelnou součástí.</w:t>
      </w:r>
    </w:p>
    <w:p w14:paraId="0000000E" w14:textId="77777777" w:rsidR="007B7795" w:rsidRDefault="002B3152">
      <w:pPr>
        <w:rPr>
          <w:rFonts w:ascii="Trebuchet MS" w:eastAsia="Trebuchet MS" w:hAnsi="Trebuchet MS" w:cs="Trebuchet MS"/>
          <w:b/>
          <w:sz w:val="20"/>
          <w:szCs w:val="20"/>
        </w:rPr>
      </w:pPr>
      <w:r>
        <w:rPr>
          <w:rFonts w:ascii="Trebuchet MS" w:eastAsia="Trebuchet MS" w:hAnsi="Trebuchet MS" w:cs="Trebuchet MS"/>
          <w:b/>
          <w:sz w:val="20"/>
          <w:szCs w:val="20"/>
        </w:rPr>
        <w:t>Měření rychlosti</w:t>
      </w:r>
    </w:p>
    <w:p w14:paraId="0000000F"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Pro kontrolu parametrů rychlosti připojení slouží uživatelům řada aplikací, které jsou k dispozici na webu. Pokud není uvedeno jinak, pak jsou měření prováděna na aplikační vrstvě, tedy včetně dat pro zajištění přenosu obsahu viz výše. Ověření může být prováděno například na adrese www.speedtest.net.</w:t>
      </w:r>
    </w:p>
    <w:p w14:paraId="00000010" w14:textId="77777777" w:rsidR="007B7795" w:rsidRDefault="002B3152">
      <w:pPr>
        <w:rPr>
          <w:rFonts w:ascii="Trebuchet MS" w:eastAsia="Trebuchet MS" w:hAnsi="Trebuchet MS" w:cs="Trebuchet MS"/>
          <w:b/>
          <w:sz w:val="20"/>
          <w:szCs w:val="20"/>
        </w:rPr>
      </w:pPr>
      <w:r>
        <w:rPr>
          <w:rFonts w:ascii="Trebuchet MS" w:eastAsia="Trebuchet MS" w:hAnsi="Trebuchet MS" w:cs="Trebuchet MS"/>
          <w:b/>
          <w:sz w:val="20"/>
          <w:szCs w:val="20"/>
        </w:rPr>
        <w:t>Dostupnost služby</w:t>
      </w:r>
    </w:p>
    <w:p w14:paraId="6286D9D3" w14:textId="77777777" w:rsidR="001E2DAC" w:rsidRDefault="002B3152">
      <w:pPr>
        <w:rPr>
          <w:rFonts w:ascii="Trebuchet MS" w:eastAsia="Trebuchet MS" w:hAnsi="Trebuchet MS" w:cs="Trebuchet MS"/>
          <w:sz w:val="20"/>
          <w:szCs w:val="20"/>
        </w:rPr>
      </w:pPr>
      <w:r>
        <w:rPr>
          <w:rFonts w:ascii="Trebuchet MS" w:eastAsia="Trebuchet MS" w:hAnsi="Trebuchet MS" w:cs="Trebuchet MS"/>
          <w:sz w:val="20"/>
          <w:szCs w:val="20"/>
        </w:rPr>
        <w:t>- Dostupnost rychlosti služby v denním průměru (tj. za 24 hodin) odpovídá uvedenému rozložení.</w:t>
      </w:r>
    </w:p>
    <w:p w14:paraId="00000011" w14:textId="6A5F5C06" w:rsidR="007B7795" w:rsidRDefault="002B3152">
      <w:pPr>
        <w:rPr>
          <w:rFonts w:ascii="Trebuchet MS" w:eastAsia="Trebuchet MS" w:hAnsi="Trebuchet MS" w:cs="Trebuchet MS"/>
          <w:sz w:val="20"/>
          <w:szCs w:val="20"/>
        </w:rPr>
      </w:pPr>
      <w:bookmarkStart w:id="0" w:name="_GoBack"/>
      <w:bookmarkEnd w:id="0"/>
      <w:r>
        <w:rPr>
          <w:rFonts w:ascii="Trebuchet MS" w:eastAsia="Trebuchet MS" w:hAnsi="Trebuchet MS" w:cs="Trebuchet MS"/>
          <w:sz w:val="20"/>
          <w:szCs w:val="20"/>
        </w:rPr>
        <w:t>- Běžně dostupná rychlost je dosahována v 95 % denního průměru.</w:t>
      </w:r>
    </w:p>
    <w:p w14:paraId="00000012"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Maximální rychlost služby je dosahována ve 3 % denního průměru.</w:t>
      </w:r>
    </w:p>
    <w:p w14:paraId="00000013"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Minimální rychlost služby je dosahována ve 2 % denního průměru.</w:t>
      </w:r>
    </w:p>
    <w:p w14:paraId="00000014"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Nedostupnost služby je stav, kdy je zaznamenána Velká trvající odchylka od běžně dostupné rychlosti nebo Velká opakující se odchylka od Běžné rychlosti, tj. vzniká právo podat reklamaci na nedostupnost služby dle Všeobecně obchodních podmínek.</w:t>
      </w:r>
    </w:p>
    <w:p w14:paraId="00000015" w14:textId="668B80FD"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xml:space="preserve">Velká trvající odchylka: od běžně dostupné rychlosti stahování a odesílání dat se rozumí odchylka, která vytváří souvislou detekovanou změnu výkonu služby přístupu k internetu delší než </w:t>
      </w:r>
      <w:r w:rsidR="00AE4E65">
        <w:rPr>
          <w:rFonts w:ascii="Trebuchet MS" w:eastAsia="Trebuchet MS" w:hAnsi="Trebuchet MS" w:cs="Trebuchet MS"/>
          <w:sz w:val="20"/>
          <w:szCs w:val="20"/>
        </w:rPr>
        <w:t>7</w:t>
      </w:r>
      <w:r>
        <w:rPr>
          <w:rFonts w:ascii="Trebuchet MS" w:eastAsia="Trebuchet MS" w:hAnsi="Trebuchet MS" w:cs="Trebuchet MS"/>
          <w:sz w:val="20"/>
          <w:szCs w:val="20"/>
        </w:rPr>
        <w:t>0 minut.</w:t>
      </w:r>
    </w:p>
    <w:p w14:paraId="00000016" w14:textId="4F92E489"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xml:space="preserve">Velká opakující se odchylka: od běžně dostupné rychlosti stahování či odesílání dat se rozumí odchylka, při které dojde alespoň ke třem detekovaným změnám výkonu služby přístupu k internetu delším než </w:t>
      </w:r>
      <w:r w:rsidR="00AE4E65">
        <w:rPr>
          <w:rFonts w:ascii="Trebuchet MS" w:eastAsia="Trebuchet MS" w:hAnsi="Trebuchet MS" w:cs="Trebuchet MS"/>
          <w:sz w:val="20"/>
          <w:szCs w:val="20"/>
        </w:rPr>
        <w:t>3,5</w:t>
      </w:r>
      <w:r>
        <w:rPr>
          <w:rFonts w:ascii="Trebuchet MS" w:eastAsia="Trebuchet MS" w:hAnsi="Trebuchet MS" w:cs="Trebuchet MS"/>
          <w:sz w:val="20"/>
          <w:szCs w:val="20"/>
        </w:rPr>
        <w:t xml:space="preserve"> minut</w:t>
      </w:r>
      <w:r w:rsidR="00AE4E65">
        <w:rPr>
          <w:rFonts w:ascii="Trebuchet MS" w:eastAsia="Trebuchet MS" w:hAnsi="Trebuchet MS" w:cs="Trebuchet MS"/>
          <w:sz w:val="20"/>
          <w:szCs w:val="20"/>
        </w:rPr>
        <w:t>y</w:t>
      </w:r>
      <w:r>
        <w:rPr>
          <w:rFonts w:ascii="Trebuchet MS" w:eastAsia="Trebuchet MS" w:hAnsi="Trebuchet MS" w:cs="Trebuchet MS"/>
          <w:sz w:val="20"/>
          <w:szCs w:val="20"/>
        </w:rPr>
        <w:t xml:space="preserve"> v časovém úseku </w:t>
      </w:r>
      <w:r w:rsidR="00AE4E65">
        <w:rPr>
          <w:rFonts w:ascii="Trebuchet MS" w:eastAsia="Trebuchet MS" w:hAnsi="Trebuchet MS" w:cs="Trebuchet MS"/>
          <w:sz w:val="20"/>
          <w:szCs w:val="20"/>
        </w:rPr>
        <w:t>90</w:t>
      </w:r>
      <w:r>
        <w:rPr>
          <w:rFonts w:ascii="Trebuchet MS" w:eastAsia="Trebuchet MS" w:hAnsi="Trebuchet MS" w:cs="Trebuchet MS"/>
          <w:sz w:val="20"/>
          <w:szCs w:val="20"/>
        </w:rPr>
        <w:t xml:space="preserve"> </w:t>
      </w:r>
      <w:r w:rsidR="00AE4E65">
        <w:rPr>
          <w:rFonts w:ascii="Trebuchet MS" w:eastAsia="Trebuchet MS" w:hAnsi="Trebuchet MS" w:cs="Trebuchet MS"/>
          <w:sz w:val="20"/>
          <w:szCs w:val="20"/>
        </w:rPr>
        <w:t>minut</w:t>
      </w:r>
      <w:r>
        <w:rPr>
          <w:rFonts w:ascii="Trebuchet MS" w:eastAsia="Trebuchet MS" w:hAnsi="Trebuchet MS" w:cs="Trebuchet MS"/>
          <w:sz w:val="20"/>
          <w:szCs w:val="20"/>
        </w:rPr>
        <w:t>.</w:t>
      </w:r>
    </w:p>
    <w:p w14:paraId="00000017" w14:textId="77777777" w:rsidR="007B7795" w:rsidRDefault="002B3152">
      <w:pPr>
        <w:rPr>
          <w:rFonts w:ascii="Trebuchet MS" w:eastAsia="Trebuchet MS" w:hAnsi="Trebuchet MS" w:cs="Trebuchet MS"/>
          <w:b/>
          <w:sz w:val="20"/>
          <w:szCs w:val="20"/>
        </w:rPr>
      </w:pPr>
      <w:r>
        <w:rPr>
          <w:rFonts w:ascii="Trebuchet MS" w:eastAsia="Trebuchet MS" w:hAnsi="Trebuchet MS" w:cs="Trebuchet MS"/>
          <w:b/>
          <w:sz w:val="20"/>
          <w:szCs w:val="20"/>
        </w:rPr>
        <w:t>Kvalita služby</w:t>
      </w:r>
    </w:p>
    <w:p w14:paraId="00000018"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xml:space="preserve">Technologie </w:t>
      </w:r>
      <w:proofErr w:type="spellStart"/>
      <w:r>
        <w:rPr>
          <w:rFonts w:ascii="Trebuchet MS" w:eastAsia="Trebuchet MS" w:hAnsi="Trebuchet MS" w:cs="Trebuchet MS"/>
          <w:sz w:val="20"/>
          <w:szCs w:val="20"/>
        </w:rPr>
        <w:t>FTTx</w:t>
      </w:r>
      <w:proofErr w:type="spellEnd"/>
      <w:r>
        <w:rPr>
          <w:rFonts w:ascii="Trebuchet MS" w:eastAsia="Trebuchet MS" w:hAnsi="Trebuchet MS" w:cs="Trebuchet MS"/>
          <w:sz w:val="20"/>
          <w:szCs w:val="20"/>
        </w:rPr>
        <w:t xml:space="preserve"> je technologie, která je společností JUTA a.s. využívány v rámci tzv. poslední míle a je jistým způsobem založena na určitém sdílení prostředků více uživateli, přičemž je snahou poskytovatele aktivně rozvíjet infrastrukturu tak, aby nedocházelo k dlouhodobým kapacitním problémům sítě a tím snížení kvality služeb. Krátkodobé výkyvy zatížení pak mohou způsobovat odchylky ve výsledcích uživatelského měření dostupných rychlostí, ať už jsou způsobeny saturací linek na libovolné straně měření. JUTA a.s. je odpovědná výhradně za zajištění kapacity ve své síti a případná zhoršení propustnosti vně datové sítě JUTA zůstávají mimo kontrolu a odpovědnost JUTA </w:t>
      </w:r>
      <w:proofErr w:type="gramStart"/>
      <w:r>
        <w:rPr>
          <w:rFonts w:ascii="Trebuchet MS" w:eastAsia="Trebuchet MS" w:hAnsi="Trebuchet MS" w:cs="Trebuchet MS"/>
          <w:sz w:val="20"/>
          <w:szCs w:val="20"/>
        </w:rPr>
        <w:t>a.s..</w:t>
      </w:r>
      <w:proofErr w:type="gramEnd"/>
    </w:p>
    <w:p w14:paraId="00000019"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Nedostatečná technická kvalita zařízení uživatele a nevhodný způsob jejich připojení ke koncovému bodu poskytnutí služby mohou výrazně negativně ovlivnit rychlosti naměřené uživatelem.</w:t>
      </w:r>
    </w:p>
    <w:p w14:paraId="0000001A"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lastRenderedPageBreak/>
        <w:t>Typickým jevem je celkové zpomalování činnosti zařízení a tím i zobrazování obsahu, služeb a aplikací v síti Internet. Před případnou reklamací služby doporučujeme ověřit, že závada není na straně koncového zařízení uživatele.</w:t>
      </w:r>
    </w:p>
    <w:p w14:paraId="0000001B"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Případné odchylky od inzerované rychlosti nezamezují právo uživatele na přístup k informacím a obsahu a jejich šíření, využívání a poskytování aplikací a služeb a využívání koncového zařízení podle svého vlastního výběru bez ohledu na polohu koncového uživatele nebo poskytovatele či polohu, původ nebo určení dané informace, obsahu, aplikace nebo služby, a to prostřednictvím své služby přístupu k internetu.</w:t>
      </w:r>
    </w:p>
    <w:p w14:paraId="0000001C"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V případě nedodržování uváděné úrovně kvality, má zákazník právo službu reklamovat dle Všeobecných podmínek poskytování veřejně dostupných služeb elektronických komunikací a Reklamačního řádu elektronických komunikací, které jsou nedílnou součástí smlouvy. Případný spor je možné řešit i mimosoudně, a to u Českého telekomunikačního úřadu (www.ctu.cz).</w:t>
      </w:r>
    </w:p>
    <w:p w14:paraId="0000001D" w14:textId="77777777" w:rsidR="007B7795" w:rsidRDefault="002B3152">
      <w:pPr>
        <w:keepNext/>
        <w:keepLines/>
        <w:rPr>
          <w:rFonts w:ascii="Trebuchet MS" w:eastAsia="Trebuchet MS" w:hAnsi="Trebuchet MS" w:cs="Trebuchet MS"/>
          <w:b/>
          <w:sz w:val="20"/>
          <w:szCs w:val="20"/>
        </w:rPr>
      </w:pPr>
      <w:r>
        <w:rPr>
          <w:rFonts w:ascii="Trebuchet MS" w:eastAsia="Trebuchet MS" w:hAnsi="Trebuchet MS" w:cs="Trebuchet MS"/>
          <w:b/>
          <w:sz w:val="20"/>
          <w:szCs w:val="20"/>
        </w:rPr>
        <w:t>Způsob užívání</w:t>
      </w:r>
    </w:p>
    <w:p w14:paraId="69048937" w14:textId="14AFA15A" w:rsidR="002B3152" w:rsidRDefault="002B3152">
      <w:pPr>
        <w:keepNext/>
        <w:keepLines/>
        <w:rPr>
          <w:rFonts w:ascii="Trebuchet MS" w:eastAsia="Trebuchet MS" w:hAnsi="Trebuchet MS" w:cs="Trebuchet MS"/>
          <w:sz w:val="20"/>
          <w:szCs w:val="20"/>
        </w:rPr>
      </w:pPr>
      <w:r>
        <w:rPr>
          <w:rFonts w:ascii="Trebuchet MS" w:eastAsia="Trebuchet MS" w:hAnsi="Trebuchet MS" w:cs="Trebuchet MS"/>
          <w:sz w:val="20"/>
          <w:szCs w:val="20"/>
        </w:rPr>
        <w:t>Uživatel je povinen užívat službu internetového připojení pouze způsobem, který nemůže negativně ovlivnit provoz sítě či její části nebo kvalitu služeb poskytovaných jiným uživatelům. Za zneužívání služby lze považovat i nadměrné zatěžování kapacity sítě. V případě důvodného podezření na útok ohrožující bezpečnost a integritu sítě Juta, či poskytování služeb Juta a.s., zajistí poskytovatel eliminaci takovéhoto závadného síťového provozu.</w:t>
      </w:r>
    </w:p>
    <w:p w14:paraId="0000001F" w14:textId="77777777" w:rsidR="007B7795" w:rsidRDefault="002B3152">
      <w:pPr>
        <w:rPr>
          <w:rFonts w:ascii="Trebuchet MS" w:eastAsia="Trebuchet MS" w:hAnsi="Trebuchet MS" w:cs="Trebuchet MS"/>
          <w:b/>
          <w:sz w:val="20"/>
          <w:szCs w:val="20"/>
        </w:rPr>
      </w:pPr>
      <w:r>
        <w:rPr>
          <w:rFonts w:ascii="Trebuchet MS" w:eastAsia="Trebuchet MS" w:hAnsi="Trebuchet MS" w:cs="Trebuchet MS"/>
          <w:b/>
          <w:sz w:val="20"/>
          <w:szCs w:val="20"/>
        </w:rPr>
        <w:t>Řízení datového provozu</w:t>
      </w:r>
    </w:p>
    <w:p w14:paraId="00000020"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Při poskytování služeb přístupu k Internetu přistupuje poskytovatel ke všem účastníkům stejně, bez ohledu na osobu odesílatele a příjemce, na obsah, aplikace a služby či použité koncové zařízení. Tím není vyloučena možnost objektivního přiměřeného řízení provozu na dobu nezbytně nutnou za účelem dodržení obecně závazných právních předpisů České republiky i Evropské unie, zachování integrity a bezpečnosti sítě, poskytovaných služeb a koncových zařízení uživatelů či zabránění přetížení sítě nebo zmírnění jeho účinků. Poskytovatel může na takovém základě zpracovávat osobní údaje pouze přiměřeně a v nezbytných případech.</w:t>
      </w:r>
    </w:p>
    <w:p w14:paraId="00000021" w14:textId="77777777" w:rsidR="007B7795" w:rsidRDefault="002B3152">
      <w:pPr>
        <w:rPr>
          <w:rFonts w:ascii="Trebuchet MS" w:eastAsia="Trebuchet MS" w:hAnsi="Trebuchet MS" w:cs="Trebuchet MS"/>
          <w:b/>
          <w:sz w:val="20"/>
          <w:szCs w:val="20"/>
        </w:rPr>
      </w:pPr>
      <w:r>
        <w:rPr>
          <w:rFonts w:ascii="Trebuchet MS" w:eastAsia="Trebuchet MS" w:hAnsi="Trebuchet MS" w:cs="Trebuchet MS"/>
          <w:b/>
          <w:sz w:val="20"/>
          <w:szCs w:val="20"/>
        </w:rPr>
        <w:t>Koncová zařízení</w:t>
      </w:r>
    </w:p>
    <w:p w14:paraId="00000022"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Uživatelé mají právo používat koncové zařízení podle vlastního výběru. Poskytovatel však neručí za kompatibilitu zařízení jiných poskytovatelů nebo prodejců. Koncové zařízení pro plnohodnotné využití služby musí odpovídat svými parametry službě, kterou si zákazník zvolil.</w:t>
      </w:r>
    </w:p>
    <w:p w14:paraId="00000023" w14:textId="77777777" w:rsidR="007B7795" w:rsidRDefault="002B3152">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24" w14:textId="77777777" w:rsidR="007B7795" w:rsidRDefault="007B7795">
      <w:pPr>
        <w:rPr>
          <w:rFonts w:ascii="Trebuchet MS" w:eastAsia="Trebuchet MS" w:hAnsi="Trebuchet MS" w:cs="Trebuchet MS"/>
          <w:sz w:val="20"/>
          <w:szCs w:val="20"/>
        </w:rPr>
      </w:pPr>
    </w:p>
    <w:sectPr w:rsidR="007B779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95"/>
    <w:rsid w:val="001E2DAC"/>
    <w:rsid w:val="002B3152"/>
    <w:rsid w:val="007B7795"/>
    <w:rsid w:val="00AE4E65"/>
    <w:rsid w:val="00AF60B3"/>
    <w:rsid w:val="00FA1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4AA0-E4A4-448B-8B6B-D9EC6838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after="100" w:line="273" w:lineRule="auto"/>
      <w:jc w:val="center"/>
      <w:outlineLvl w:val="0"/>
    </w:pPr>
    <w:rPr>
      <w:rFonts w:ascii="Trebuchet MS" w:eastAsia="Trebuchet MS" w:hAnsi="Trebuchet MS" w:cs="Trebuchet MS"/>
      <w:sz w:val="20"/>
      <w:szCs w:val="2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200" w:line="273" w:lineRule="auto"/>
      <w:jc w:val="center"/>
    </w:pPr>
    <w:rPr>
      <w:rFonts w:ascii="Trebuchet MS" w:eastAsia="Trebuchet MS" w:hAnsi="Trebuchet MS" w:cs="Trebuchet MS"/>
      <w:b/>
      <w:sz w:val="28"/>
      <w:szCs w:val="28"/>
    </w:rPr>
  </w:style>
  <w:style w:type="paragraph" w:styleId="Podtitul">
    <w:name w:val="Subtitle"/>
    <w:basedOn w:val="Normln"/>
    <w:next w:val="Normln"/>
    <w:pPr>
      <w:keepNext/>
      <w:keepLines/>
      <w:spacing w:before="200" w:after="300" w:line="240" w:lineRule="auto"/>
    </w:pPr>
    <w:rPr>
      <w:rFonts w:ascii="Trebuchet MS" w:eastAsia="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832</Words>
  <Characters>4909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Jiri Nalevka Ing.</cp:lastModifiedBy>
  <cp:revision>5</cp:revision>
  <dcterms:created xsi:type="dcterms:W3CDTF">2021-03-08T15:00:00Z</dcterms:created>
  <dcterms:modified xsi:type="dcterms:W3CDTF">2021-03-29T13:10:00Z</dcterms:modified>
</cp:coreProperties>
</file>